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B4B4B"/>
          <w:spacing w:val="0"/>
          <w:sz w:val="40"/>
          <w:szCs w:val="40"/>
          <w:u w:val="none"/>
        </w:rPr>
      </w:pPr>
      <w:bookmarkStart w:id="0" w:name="_GoBack"/>
      <w:r>
        <w:rPr>
          <w:rFonts w:hint="default" w:ascii="微软雅黑" w:hAnsi="微软雅黑" w:eastAsia="微软雅黑" w:cs="微软雅黑"/>
          <w:i w:val="0"/>
          <w:caps w:val="0"/>
          <w:color w:val="4B4B4B"/>
          <w:spacing w:val="0"/>
          <w:sz w:val="40"/>
          <w:szCs w:val="40"/>
          <w:u w:val="none"/>
          <w:bdr w:val="none" w:color="auto" w:sz="0" w:space="0"/>
          <w:shd w:val="clear" w:fill="FFFFFF"/>
        </w:rPr>
        <w:t>国务院关于印发统筹推进世界一流大学和</w:t>
      </w:r>
      <w:r>
        <w:rPr>
          <w:rFonts w:hint="default" w:ascii="微软雅黑" w:hAnsi="微软雅黑" w:eastAsia="微软雅黑" w:cs="微软雅黑"/>
          <w:i w:val="0"/>
          <w:caps w:val="0"/>
          <w:color w:val="4B4B4B"/>
          <w:spacing w:val="0"/>
          <w:sz w:val="40"/>
          <w:szCs w:val="40"/>
          <w:u w:val="none"/>
          <w:bdr w:val="none" w:color="auto" w:sz="0" w:space="0"/>
          <w:shd w:val="clear" w:fill="FFFFFF"/>
        </w:rPr>
        <w:br w:type="textWrapping"/>
      </w:r>
      <w:r>
        <w:rPr>
          <w:rFonts w:hint="default" w:ascii="微软雅黑" w:hAnsi="微软雅黑" w:eastAsia="微软雅黑" w:cs="微软雅黑"/>
          <w:i w:val="0"/>
          <w:caps w:val="0"/>
          <w:color w:val="4B4B4B"/>
          <w:spacing w:val="0"/>
          <w:sz w:val="40"/>
          <w:szCs w:val="40"/>
          <w:u w:val="none"/>
          <w:bdr w:val="none" w:color="auto" w:sz="0" w:space="0"/>
          <w:shd w:val="clear" w:fill="FFFFFF"/>
        </w:rPr>
        <w:t>一流学科建设总体方案的通知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微软雅黑" w:hAnsi="微软雅黑" w:eastAsia="微软雅黑" w:cs="微软雅黑"/>
          <w:b w:val="0"/>
          <w:i w:val="0"/>
          <w:caps w:val="0"/>
          <w:color w:val="4B4B4B"/>
          <w:spacing w:val="0"/>
          <w:sz w:val="32"/>
          <w:szCs w:val="32"/>
          <w:u w:val="none"/>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国发〔2015〕64号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现将《统筹推进世界一流大学和一流学科建设总体方案》印发给你们，请认真贯彻落实。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2015年10月24日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center"/>
      </w:pP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统筹推进世界一流大学和一流学科建设总体方案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建设世界一流大学和一流学科，是党中央、国务院作出的重大战略决策，对于提升我国教育发展水平、增强国家核心竞争力、奠定长远发展基础，具有十分重要的意义。多年来，通过实施“211工程”、“985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——坚持以一流为目标。引导和支持具备一定实力的高水平大学和高水平学科瞄准世界一流，汇聚优质资源，培养一流人才，产出一流成果，加快走向世界一流。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——坚持以学科为基础。引导和支持高等学校优化学科结构，凝练学科发展方向，突出学科建设重点，创新学科组织模式，打造更多学科高峰，带动学校发挥优势、办出特色。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以绩效为杠杆。建立激励约束机制，鼓励公平竞争，强化目标管理，突出建设实效，构建完善中国特色的世界一流大学和一流学科评价体系，充分激发高校内生动力和发展活力，引导高等学校不断提升办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——坚持以改革为动力。深化高校综合改革，加快中国特色现代大学制度建设，着力破除体制机制障碍，加快构建充满活力、富有效率、更加开放、有利于学校科学发展的体制机制，当好教育改革排头兵。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（三）总体目标。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——到2020年，若干所大学和一批学科进入世界一流行列，若干学科进入世界一流学科前列。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——到2030年，更多的大学和学科进入世界一流行列，若干所大学进入世界一流大学前列，一批学科进入世界一流学科前列，高等教育整体实力显著提升。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——到本世纪中叶，一流大学和一流学科的数量和实力进入世界前列，基本建成高等教育强国。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　二、建设任务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（四）建设一流师资队伍。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（五）培养拔尖创新人才。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（六）提升科学研究水平。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（七）传承创新优秀文化。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（八）着力推进成果转化。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　三、改革任务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（九）加强和改进党对高校的领导。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（十）完善内部治理结构。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（十一）实现关键环节突破。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（十二）构建社会参与机制。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（十三）推进国际交流合作。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　　四、支持措施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（十四）总体规划，分级支持。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面向经济社会发展需要，立足高等教育发展现状，对世界一流大学和一流学科建设加强总体规划，鼓励和支持不同类型的高水平大学和学科差别化发展，加快进入世界一流行列或前列。每五年一个周期，2016年开始新一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（十五）强化绩效，动态支持。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（十六）多元投入，合力支持。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建设世界一流大学和一流学科是一项长期任务，需要各方共同努力，完善政府、社会、学校相结合的共建机制，形成多元化投入、合力支持的格局。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鼓励有关部门和行业企业积极参与一流大学和一流学科建设。围绕培养所需人才、解决重大瓶颈等问题，加强与有关高校合作，通过共建、联合培养、科技合作攻关等方式支持一流大学和一流学科建设。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按照平稳有序、逐步推进原则，合理调整高校学费标准，进一步健全成本分担机制。高校要不断拓宽筹资渠道，积极吸引社会捐赠，扩大社会合作，健全社会支持长效机制，多渠道汇聚资源，增强自我发展能力。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五、组织实施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（十七）加强组织管理。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国家教育体制改革领导小组负责顶层设计、宏观布局、统筹协调、经费投入等重要事项决策，重大问题及时报告国务院。教育部、财政部、发展改革委负责规划部署、推进实施、监督管理等工作，日常工作由教育部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（十八）有序推进实施。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要完善配套政策，根据本方案组织制定绩效评价和资金管理等具体办法。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要编制建设方案，深入研究学校的建设基础、优势特色、发展潜力等，科学编制发展规划和建设方案，提出具体的建设目标、任务和周期，明确改革举措、资源配置和资金筹集等安排。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要开展咨询论证，组织相关专家，结合经济社会发展需求和国家战略需要，对学校建设方案的科学性、可行性进行咨询论证，提出意见建议。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要强化跟踪指导，对建设过程实施动态监测，及时发现建设中存在的问题，提出改进的意见建议。建立信息公开公示网络平台，接受社会公众监督。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7C6F2F"/>
    <w:rsid w:val="AB7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2021-04-29T14:39:00Z</dcterms:created>
  <dc:creator>apple</dc:creator>
  <cp:lastModifiedBy>apple</cp:lastModifiedBy>
  <dcterms:modified xsi:type="dcterms:W3CDTF">2021-04-29T14:39:38Z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