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both"/>
        <w:rPr>
          <w:rFonts w:ascii="微软雅黑" w:hAnsi="微软雅黑" w:eastAsia="微软雅黑" w:cs="微软雅黑"/>
          <w:b/>
          <w:color w:val="4B4B4B"/>
          <w:sz w:val="40"/>
          <w:szCs w:val="40"/>
        </w:rPr>
      </w:pPr>
      <w:bookmarkStart w:id="0" w:name="_GoBack"/>
      <w:r>
        <w:rPr>
          <w:rFonts w:hint="default" w:ascii="微软雅黑" w:hAnsi="微软雅黑" w:eastAsia="微软雅黑" w:cs="微软雅黑"/>
          <w:b/>
          <w:i w:val="0"/>
          <w:caps w:val="0"/>
          <w:color w:val="4B4B4B"/>
          <w:spacing w:val="0"/>
          <w:sz w:val="40"/>
          <w:szCs w:val="40"/>
          <w:u w:val="none"/>
          <w:bdr w:val="none" w:color="auto" w:sz="0" w:space="0"/>
          <w:shd w:val="clear" w:fill="FFFFFF"/>
        </w:rPr>
        <w:t>教育部 国家发展改革委 财政部印发《关于</w:t>
      </w:r>
      <w:r>
        <w:rPr>
          <w:rFonts w:hint="default" w:ascii="微软雅黑" w:hAnsi="微软雅黑" w:eastAsia="微软雅黑" w:cs="微软雅黑"/>
          <w:b/>
          <w:i w:val="0"/>
          <w:caps w:val="0"/>
          <w:color w:val="4B4B4B"/>
          <w:spacing w:val="0"/>
          <w:sz w:val="40"/>
          <w:szCs w:val="40"/>
          <w:u w:val="none"/>
          <w:bdr w:val="none" w:color="auto" w:sz="0" w:space="0"/>
          <w:shd w:val="clear" w:fill="FFFFFF"/>
        </w:rPr>
        <w:br w:type="textWrapping"/>
      </w:r>
      <w:r>
        <w:rPr>
          <w:rFonts w:hint="default" w:ascii="微软雅黑" w:hAnsi="微软雅黑" w:eastAsia="微软雅黑" w:cs="微软雅黑"/>
          <w:b/>
          <w:i w:val="0"/>
          <w:caps w:val="0"/>
          <w:color w:val="4B4B4B"/>
          <w:spacing w:val="0"/>
          <w:sz w:val="40"/>
          <w:szCs w:val="40"/>
          <w:u w:val="none"/>
          <w:bdr w:val="none" w:color="auto" w:sz="0" w:space="0"/>
          <w:shd w:val="clear" w:fill="FFFFFF"/>
        </w:rPr>
        <w:t>“双一流”建设高校促进学科融合 加快人工</w:t>
      </w:r>
      <w:r>
        <w:rPr>
          <w:rFonts w:hint="default" w:ascii="微软雅黑" w:hAnsi="微软雅黑" w:eastAsia="微软雅黑" w:cs="微软雅黑"/>
          <w:b/>
          <w:i w:val="0"/>
          <w:caps w:val="0"/>
          <w:color w:val="4B4B4B"/>
          <w:spacing w:val="0"/>
          <w:sz w:val="40"/>
          <w:szCs w:val="40"/>
          <w:u w:val="none"/>
          <w:bdr w:val="none" w:color="auto" w:sz="0" w:space="0"/>
          <w:shd w:val="clear" w:fill="FFFFFF"/>
        </w:rPr>
        <w:br w:type="textWrapping"/>
      </w:r>
      <w:r>
        <w:rPr>
          <w:rFonts w:hint="default" w:ascii="微软雅黑" w:hAnsi="微软雅黑" w:eastAsia="微软雅黑" w:cs="微软雅黑"/>
          <w:b/>
          <w:i w:val="0"/>
          <w:caps w:val="0"/>
          <w:color w:val="4B4B4B"/>
          <w:spacing w:val="0"/>
          <w:sz w:val="40"/>
          <w:szCs w:val="40"/>
          <w:u w:val="none"/>
          <w:bdr w:val="none" w:color="auto" w:sz="0" w:space="0"/>
          <w:shd w:val="clear" w:fill="FFFFFF"/>
        </w:rPr>
        <w:t>智能领域研究生培养的若干意见》的通知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教研〔2020〕4号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各省、自治区、直辖市教育厅（教委）、发展改革委、财政厅（局），新疆生产建设兵团教育局、发展改革委、财政局，有关部门（单位）教育司（局），有关高等学校：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根据国务院印发的《新一代人工智能发展规划》，教育部、国家发展改革委、财政部制定了《关于“双一流”建设高校促进学科融合 加快人工智能领域研究生培养的若干意见》，现予以印发，请认真贯彻执行。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教育部 国家发展改革委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2020年1月21日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default" w:ascii="微软雅黑" w:hAnsi="微软雅黑" w:eastAsia="微软雅黑" w:cs="微软雅黑"/>
          <w:color w:val="4B4B4B"/>
          <w:sz w:val="32"/>
          <w:szCs w:val="32"/>
        </w:rPr>
      </w:pP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关于“双一流”建设高校促进学科融合</w:t>
      </w:r>
      <w:r>
        <w:rPr>
          <w:rFonts w:hint="default" w:ascii="微软雅黑" w:hAnsi="微软雅黑" w:eastAsia="微软雅黑" w:cs="微软雅黑"/>
          <w:i w:val="0"/>
          <w:caps w:val="0"/>
          <w:color w:val="4B4B4B"/>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default" w:ascii="微软雅黑" w:hAnsi="微软雅黑" w:eastAsia="微软雅黑" w:cs="微软雅黑"/>
          <w:color w:val="4B4B4B"/>
          <w:sz w:val="32"/>
          <w:szCs w:val="32"/>
        </w:rPr>
      </w:pP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加快人工智能领域研究生培养的若干意见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人工智能是引领新一轮科技革命、产业变革、社会变革的战略性技术，正在对经济发展、社会进步、国际政治经济格局等方面产生重大深远的影响。培养和汇聚具有创新能力与合作精神的高层次人才，是高校的重要使命。与发达国家相比，我国在人工智能基础理论、原创算法、高端芯片和生态系统等方面仍有较大差距，学科交叉融合亟待深化，人才培养导向性亟待加强。为贯彻落实党中央、国务院关于加快发展新一代人工智能的重要部署，推动“双一流”建设高校着力构建赶超世界先进水平的人工智能人才培养体系，加快培养勇闯“无人区”的高层次人才，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w:t>
      </w: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以习近平新时代中国特色社会主义思想为指导，全面贯彻党的十九大和十九届二中、三中、四中全会精神，依托“双一流”建设，深化人工智能内涵，构建基础理论人才与“人工智能+X”复合型人才并重的培养体系，探索深度融合的学科建设和人才培养新模式，着力提升人工智能领域研究生培养水平，为我国抢占世界科技前沿，实现引领性原创成果的重大突破，提供更加充分的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需求导向、应用驱动。以解决人工智能重大理论和实践应用问题为牵引，促进人工智能基础理论研究，加快人工智能领域科技成果在重点行业领域的转化应用。以产业行业人工智能应用为导向，拓展核心技术和创新方法，实现人工智能对相关学科的赋能改造，形成“人工智能+X”的复合发展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项目牵引、多元支持。服务支撑国家重大项目、重大发展规划的任务需求，统筹布局多学科交叉的基础理论、算法、软件及集成电路设计等方向的产教融合创新平台和人才培养基地。充分发挥政府财政投入、政策支持的引导作用和市场配置资源的决定性作用，鼓励企业、社会加大投入，形成财政资金、金融资本、社会资本合力支持人工智能相关学科发展和高层次人才培养的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跨界融合、精准培养。深化人工智能与基础科学、信息科学、医学、哲学社会科学等相关学科的交叉融合，不断丰富完善人工智能主干知识体系和跨学科核心知识体系，培育新的学科生长点和特色方向。把握人工智能人才培养规律，学用结合，强化实践。创新高层次人才培养机制，面向领域和应用方向培养学生掌握不同学科的概念体系、方法工具等方面的知识。强化产教融合，构建自主创新和人才培养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w:t>
      </w: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二、壮大高层次人才队伍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三）培育高水平创新型人才。加大对优秀人才特别是青年人才的稳定支持力度，大力培育具有发展潜力的人工智能领军人才。构建多类型、高质量、结构合理的人才队伍，涵盖理论、方法、工具、系统研究，以及将人工智能技术应用于产业创新、社会治理、国家安全等方面的人才。加强人工智能科研伦理教育。鼓励人工智能龙头企业根据产业技术的最新发展和对人才培养的最新需求，提供试验实践环境，对高校教师开展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四）有序推动人工智能高端人才队伍建设。培育和吸引人工智能前沿领域优秀人才和高水平创新团队，以及具有发展潜力的优秀青年人才，注重人才学科背景的多样化、互补性，实行个性化支持政策，实现不同学科背景人才的系统性整合。以双聘等灵活聘用方式吸引企业和科研院所优秀人才到高校开展科学研究和人才培养。统筹利用各类资源，为人才流动和创新创业提供良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w:t>
      </w: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三、打造高水平发展平台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五）完善人工智能领域学科布局。加强人工智能基础理论、机器学习、计算机视觉与模式识别、自然语言处理、知识处理与挖掘、智能芯片与系统、数据分析与大数据系统、认知心理学和神经科学等相关方向建设。鼓励高校统筹各类资金，支持人工智能相关学科建设，逐渐形成学科优势特色，推动人工智能向更多学科渗透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六）设立产教融合创新平台。依托“双一流”建设高校，建设国家人工智能产教融合创新平台，在人工智能发展重大问题和突破方向上，实行联合科研攻关和融合育人，强化课程体系、计算平台、实验环境等条件建设。鼓励企业参与共建，在资金、项目等方面优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七）密切校企合作。支持高校、科研院所、产业联盟和骨干企业、新型研发机构等合作建设面向重大研究方向或重点行业应用的人工智能开放创新平台、应用场景平台、联合实验室（技术研发中心）和实训基地，共建示范性人工智能学院或研究院。鼓励企业参与制定研究生培养方案，组织开展人工智能高层次人才创新创业和技能竞赛，引导学生以企业实际问题开展创新创业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w:t>
      </w: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四、创新高层次人才培养机制和模式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八）确立专项任务培养研究生机制。以多学科交叉解决重大问题的专项任务作为研究生课题主要来源和培养载体，以高水平科学研究支撑人工智能高层次人才培养，支持高校在承担的重大科研任务中，自主确定研究生培养规模，制定个性化的培养方案，完善人才培养成本分摊机制。对承担重大科研任务的博士生，高校应参照科研人员管理的有关规定，制定保障和提高博士生相关待遇的具体办法，保护博士生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九）强化博士生交叉复合培养。聚焦新一代人工智能基础理论算法、关键技术和核心应用，强化问题导向的多学科交叉博士生培养，提高博士生将不同学科理论与方法、科学前沿与企业实践进行整合再创新的能力。支持高校与人工智能领域骨干企业、产业化基地和地方政府设立人才联合培养项目，建立任务驱动的跨行业跨学科导师团队，促进科研协同创新发展和博士生联合培养。完善工程博士培养标准，加大工程实践在培养方案中的比重，联合企业开展人才职业能力认证培训。鼓励企业向博士生开放课程、数据、案例、工具和实训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加强课程体系建设。面向全产业链和社会发展需求，科学设计多学科交叉融合的课程体系，避免简单“拼盘化”。以理论沿革和关键领域核心技术为主干，打造人工智能核心知识课程体系，重点建设一批与数学、物理学、计算机、控制、神经和认知科学、心理学等学科交叉融合的人工智能基础课程。以重大科技前沿和产业应用创新需求为导向，打造人工智能关联知识课程体系，鼓励高科技创新企业参与建设一批“场景驱动”的应用型模块课程。加快推动人工智能领域最新研究成果转化为教学内容，建设一批有影响力的教材和国家精品在线开放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一）加强国际交流合作。瞄准人工智能国际前沿和国内发展短板，加大国内外联合培养人工智能相关领域博士生的支持力度。积极鼓励高层次人才开展国际交流，拓展合作的深度和广度。举办具有国际影响力的人工智能学术会议与论坛，创办高水平学术期刊。建设一批人工智能国际合作科研平台和基地，加强国际化高端人才培养和培训。鼓励高校发起和组织人工智能国际大科学计划，创设国际学术组织和大学合作联盟。推动制定人工智能领域相关国际标准和伦理规范。大力培养参与人工智能全球治理的国际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w:t>
      </w:r>
      <w:r>
        <w:rPr>
          <w:rStyle w:val="5"/>
          <w:rFonts w:hint="default" w:ascii="微软雅黑" w:hAnsi="微软雅黑" w:eastAsia="微软雅黑" w:cs="微软雅黑"/>
          <w:i w:val="0"/>
          <w:caps w:val="0"/>
          <w:color w:val="4B4B4B"/>
          <w:spacing w:val="0"/>
          <w:sz w:val="32"/>
          <w:szCs w:val="32"/>
          <w:u w:val="none"/>
          <w:bdr w:val="none" w:color="auto" w:sz="0" w:space="0"/>
          <w:shd w:val="clear" w:fill="FFFFFF"/>
        </w:rPr>
        <w:t>五、加大支持与组织力度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二）健全学科设置机制。健全以人工智能基础理论和产业发展需求为导向的学科专业结构动态调整机制。有条件的高校可根据经济社会发展和人才培养需要，以自主试点、先行先试方式，自主设置人工智能交叉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三）完善学科评价机制。完善以人才培养、知识创新、应用成效为核心的学科评价体系，探索有利于新兴交叉学科深度融合发展的评价办法，给予相对宽松的建设和评价周期。鼓励高校开展自我评估，支持学会、行业协会开展第三方评价，合理借鉴国际评估。构建激励学科交叉研究人员动态流动的复合评价机制，认可其对来源学科和交叉融合学科的双重贡献，以及论文、专利、软件著作权等成果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四）扩大研究生培养规模。将人工智能纳入“国家关键领域急需高层次人才培养专项招生计划”支持范围，综合考虑有关高校高水平师资、国家级科研平台、重大科研项目和攻关任务，以及产教融合、协同育人成效等情况，安排研究生尤其是博士生招生计划专项增量。积极引导高校通过实施常规增量倾斜和存量调整办法，切实优化招生结构，精准扩大人工智能相关学科高层次人才培养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五）健全学位质量保障机制。鼓励高校在人工智能相关学科设立教学指导分委员会，开展多样化教学评价。高校学位评定委员会设立人工智能专门工作组，负责人工智能高层次人才培养方案、学位标准和管理规范制定，承担学位评审相关工作。完善硕博贯通培养和分流退出机制。设立跨学科评议专家组，设置专门的评议要素，适时进行人工智能领域学位论文抽检和人才培养质量专项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六）加强资金投入引导。鼓励高校统筹财政投入、科研收入等各种资源，加大支持研究生培养、开展基础前沿研究和关键共性技术攻关的力度。加强与骨干企业的合作，利用天使投资、风险投资、创业投资基金及资本市场融资等多种渠道，引导社会资本参与高校人工智能重大项目实施，加大对人才培养、应用研究、基地平台建设和成果转移转化的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十七）加强组织实施。教育部加强政策措施统筹协调，成立人工智能高层次人才培养专家委员会，指导高校实施人才培养专项计划，及时总结推广可复制的经验和做法。各地教育行政部门和高校要加强人工智能相关学科建设与人才培养规划，制定切实可行的实施计划，完善人才培养质量监测评估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F4598"/>
    <w:rsid w:val="7EBF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2021-04-29T14:32:00Z</dcterms:created>
  <dc:creator>apple</dc:creator>
  <cp:lastModifiedBy>apple</cp:lastModifiedBy>
  <dcterms:modified xsi:type="dcterms:W3CDTF">2021-04-29T14:32:58Z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